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BA0" w:rsidRDefault="002F6BA0"/>
    <w:p w:rsidR="002F6BA0" w:rsidRDefault="002F6BA0"/>
    <w:p w:rsidR="002F6BA0" w:rsidRDefault="002F6BA0"/>
    <w:p w:rsidR="002F6BA0" w:rsidRDefault="002F6BA0"/>
    <w:p w:rsidR="002F6BA0" w:rsidRDefault="002F6BA0"/>
    <w:p w:rsidR="002F6BA0" w:rsidRDefault="002F6BA0"/>
    <w:p w:rsidR="002F6BA0" w:rsidRDefault="002F6BA0"/>
    <w:p w:rsidR="002F6BA0" w:rsidRDefault="002F6BA0"/>
    <w:p w:rsidR="002F6BA0" w:rsidRDefault="002F6BA0"/>
    <w:p w:rsidR="002F6BA0" w:rsidRDefault="002F6BA0" w:rsidP="002F6BA0">
      <w:pPr>
        <w:jc w:val="center"/>
      </w:pPr>
      <w:r>
        <w:t>College Level Writing</w:t>
      </w:r>
    </w:p>
    <w:p w:rsidR="002F6BA0" w:rsidRDefault="002F6BA0" w:rsidP="002F6BA0">
      <w:pPr>
        <w:jc w:val="center"/>
      </w:pPr>
      <w:r>
        <w:t>Name of Student</w:t>
      </w:r>
    </w:p>
    <w:p w:rsidR="002F6BA0" w:rsidRDefault="002F6BA0" w:rsidP="002F6BA0">
      <w:pPr>
        <w:jc w:val="center"/>
      </w:pPr>
      <w:r>
        <w:t>Name of Institution</w:t>
      </w:r>
    </w:p>
    <w:p w:rsidR="002F6BA0" w:rsidRDefault="002F6BA0" w:rsidP="002F6BA0">
      <w:pPr>
        <w:jc w:val="center"/>
      </w:pPr>
      <w:r>
        <w:t>Date</w:t>
      </w:r>
      <w:r>
        <w:br w:type="page"/>
      </w:r>
    </w:p>
    <w:p w:rsidR="00FF3598" w:rsidRDefault="00B14848" w:rsidP="00485F55">
      <w:pPr>
        <w:ind w:firstLine="720"/>
      </w:pPr>
      <w:r>
        <w:lastRenderedPageBreak/>
        <w:t xml:space="preserve">College </w:t>
      </w:r>
      <w:r w:rsidR="00BF2263">
        <w:t>r</w:t>
      </w:r>
      <w:r>
        <w:t xml:space="preserve">eading texts </w:t>
      </w:r>
      <w:r w:rsidR="00485F55">
        <w:t>should conform to scholarly principles by illustrating a professional tone</w:t>
      </w:r>
      <w:r w:rsidR="002B5781">
        <w:t xml:space="preserve"> primarily targeting to persuade, analyze or inform about a certain subject matter</w:t>
      </w:r>
      <w:r w:rsidR="00485F55">
        <w:t xml:space="preserve">. They make use of details, facts, logical reasoning and clear explanations to support their </w:t>
      </w:r>
      <w:r w:rsidR="002B5781">
        <w:t xml:space="preserve">argument on the </w:t>
      </w:r>
      <w:r w:rsidR="00485F55">
        <w:t>content material</w:t>
      </w:r>
      <w:r w:rsidR="002F6BA0">
        <w:t xml:space="preserve"> </w:t>
      </w:r>
      <w:sdt>
        <w:sdtPr>
          <w:id w:val="1395085171"/>
          <w:citation/>
        </w:sdtPr>
        <w:sdtContent>
          <w:r w:rsidR="002F6BA0">
            <w:fldChar w:fldCharType="begin"/>
          </w:r>
          <w:r w:rsidR="002F6BA0">
            <w:instrText xml:space="preserve"> CITATION Gei13 \l 1033 </w:instrText>
          </w:r>
          <w:r w:rsidR="002F6BA0">
            <w:fldChar w:fldCharType="separate"/>
          </w:r>
          <w:r w:rsidR="002F6BA0">
            <w:rPr>
              <w:noProof/>
            </w:rPr>
            <w:t>(Geisler, 2013)</w:t>
          </w:r>
          <w:r w:rsidR="002F6BA0">
            <w:fldChar w:fldCharType="end"/>
          </w:r>
        </w:sdtContent>
      </w:sdt>
      <w:r w:rsidR="00485F55">
        <w:t xml:space="preserve">. </w:t>
      </w:r>
      <w:r w:rsidR="00915E12">
        <w:t xml:space="preserve">Creativity is advised or frankness but clarity should be preserved in either approach. </w:t>
      </w:r>
      <w:r w:rsidR="00485F55">
        <w:t xml:space="preserve">Conciseness is preferred to flattery and complex sentence structures to avoid distracting the reader. The text should make use of objective language </w:t>
      </w:r>
      <w:r w:rsidR="002B5781">
        <w:t xml:space="preserve">to emphasize the intended point of view </w:t>
      </w:r>
      <w:r w:rsidR="00485F55">
        <w:t xml:space="preserve">but </w:t>
      </w:r>
      <w:r w:rsidR="002B5781">
        <w:t xml:space="preserve">should </w:t>
      </w:r>
      <w:r w:rsidR="00485F55">
        <w:t xml:space="preserve">accommodate for both sides of each argument with </w:t>
      </w:r>
      <w:r w:rsidR="002B5781">
        <w:t xml:space="preserve">clarity and </w:t>
      </w:r>
      <w:r w:rsidR="00485F55">
        <w:t>evidence</w:t>
      </w:r>
      <w:r w:rsidR="002F6BA0">
        <w:t xml:space="preserve"> </w:t>
      </w:r>
      <w:sdt>
        <w:sdtPr>
          <w:id w:val="527923064"/>
          <w:citation/>
        </w:sdtPr>
        <w:sdtContent>
          <w:r w:rsidR="002F6BA0">
            <w:fldChar w:fldCharType="begin"/>
          </w:r>
          <w:r w:rsidR="002F6BA0">
            <w:instrText xml:space="preserve"> CITATION Lun13 \l 1033 </w:instrText>
          </w:r>
          <w:r w:rsidR="002F6BA0">
            <w:fldChar w:fldCharType="separate"/>
          </w:r>
          <w:r w:rsidR="002F6BA0">
            <w:rPr>
              <w:noProof/>
            </w:rPr>
            <w:t>(Lunsford, Fishman, &amp; Liew, 2013)</w:t>
          </w:r>
          <w:r w:rsidR="002F6BA0">
            <w:fldChar w:fldCharType="end"/>
          </w:r>
        </w:sdtContent>
      </w:sdt>
      <w:r w:rsidR="00485F55">
        <w:t xml:space="preserve">. The </w:t>
      </w:r>
      <w:r w:rsidR="002B5781">
        <w:t xml:space="preserve">content should show examples of investigations, examination of effects, assessing means of accomplishing the task, analysis of differing arguments and discovery of relationships between various approaches. The content should coherence of the writer with credible ideas and cohesion of the same. The text is expected to have no repetition </w:t>
      </w:r>
      <w:r w:rsidR="000D2984">
        <w:t xml:space="preserve">and the sentences should not be long. </w:t>
      </w:r>
    </w:p>
    <w:p w:rsidR="002F6BA0" w:rsidRDefault="000D2984" w:rsidP="00485F55">
      <w:pPr>
        <w:ind w:firstLine="720"/>
      </w:pPr>
      <w:r>
        <w:t xml:space="preserve">The tone of the content should preferably avoid, boring and dull language, and a mixture of multisyllabic words or jargon. Scholarly texts do not include casual language and approaches the subject matter in a non-combative manner. A non-combative manner is characterized by avoiding broad generalizations, use of adverbs and over-sweeping adjectives, inflammatory language, </w:t>
      </w:r>
      <w:r>
        <w:t>qualifiers,</w:t>
      </w:r>
      <w:r>
        <w:t xml:space="preserve"> and emotional language. </w:t>
      </w:r>
      <w:r w:rsidR="00915E12">
        <w:t xml:space="preserve">The content should show the writer’s comprehension and value in the subject matter, thus interest is inspired from the writer. The text earns credence when information within uses credible references to affirm research was done. The references and citations should be directly relevant content. </w:t>
      </w:r>
    </w:p>
    <w:p w:rsidR="002F6BA0" w:rsidRDefault="002F6BA0">
      <w:r>
        <w:br w:type="page"/>
      </w:r>
    </w:p>
    <w:sdt>
      <w:sdtPr>
        <w:id w:val="-1348860769"/>
        <w:docPartObj>
          <w:docPartGallery w:val="Bibliographies"/>
          <w:docPartUnique/>
        </w:docPartObj>
      </w:sdtPr>
      <w:sdtEndPr>
        <w:rPr>
          <w:rFonts w:ascii="Times New Roman" w:eastAsiaTheme="minorHAnsi" w:hAnsi="Times New Roman" w:cstheme="minorBidi"/>
          <w:color w:val="auto"/>
          <w:sz w:val="24"/>
          <w:szCs w:val="22"/>
        </w:rPr>
      </w:sdtEndPr>
      <w:sdtContent>
        <w:p w:rsidR="002F6BA0" w:rsidRPr="002F6BA0" w:rsidRDefault="002F6BA0" w:rsidP="002F6BA0">
          <w:pPr>
            <w:pStyle w:val="Heading1"/>
            <w:jc w:val="center"/>
            <w:rPr>
              <w:rFonts w:ascii="Times New Roman" w:hAnsi="Times New Roman" w:cs="Times New Roman"/>
              <w:color w:val="auto"/>
              <w:sz w:val="24"/>
              <w:szCs w:val="24"/>
            </w:rPr>
          </w:pPr>
          <w:r w:rsidRPr="002F6BA0">
            <w:rPr>
              <w:rFonts w:ascii="Times New Roman" w:hAnsi="Times New Roman" w:cs="Times New Roman"/>
              <w:color w:val="auto"/>
              <w:sz w:val="24"/>
              <w:szCs w:val="24"/>
            </w:rPr>
            <w:t>References</w:t>
          </w:r>
        </w:p>
        <w:sdt>
          <w:sdtPr>
            <w:id w:val="-573587230"/>
            <w:bibliography/>
          </w:sdtPr>
          <w:sdtContent>
            <w:p w:rsidR="002F6BA0" w:rsidRDefault="002F6BA0" w:rsidP="002F6BA0">
              <w:pPr>
                <w:pStyle w:val="Bibliography"/>
                <w:ind w:left="720" w:hanging="720"/>
                <w:rPr>
                  <w:noProof/>
                  <w:szCs w:val="24"/>
                </w:rPr>
              </w:pPr>
              <w:r>
                <w:fldChar w:fldCharType="begin"/>
              </w:r>
              <w:r>
                <w:instrText xml:space="preserve"> BIBLIOGRAPHY </w:instrText>
              </w:r>
              <w:r>
                <w:fldChar w:fldCharType="separate"/>
              </w:r>
              <w:r>
                <w:rPr>
                  <w:noProof/>
                </w:rPr>
                <w:t xml:space="preserve">Geisler, C. (2013). </w:t>
              </w:r>
              <w:r>
                <w:rPr>
                  <w:i/>
                  <w:iCs/>
                  <w:noProof/>
                </w:rPr>
                <w:t>Academic literacy and the nature of expertise: Reading, writing, and knowing in academic philosophy.</w:t>
              </w:r>
              <w:r>
                <w:rPr>
                  <w:noProof/>
                </w:rPr>
                <w:t xml:space="preserve"> Abongdon-on-Thames: Routledge.</w:t>
              </w:r>
            </w:p>
            <w:p w:rsidR="002F6BA0" w:rsidRDefault="002F6BA0" w:rsidP="002F6BA0">
              <w:pPr>
                <w:pStyle w:val="Bibliography"/>
                <w:ind w:left="720" w:hanging="720"/>
                <w:rPr>
                  <w:noProof/>
                </w:rPr>
              </w:pPr>
              <w:r>
                <w:rPr>
                  <w:noProof/>
                </w:rPr>
                <w:t xml:space="preserve">Lunsford, A. A., Fishman, J., &amp; Liew, W. M. (2013). College writing, identification, and the production of intellectual property: Voices from the Stanford study of writing. </w:t>
              </w:r>
              <w:r>
                <w:rPr>
                  <w:i/>
                  <w:iCs/>
                  <w:noProof/>
                </w:rPr>
                <w:t xml:space="preserve">College English </w:t>
              </w:r>
              <w:r>
                <w:rPr>
                  <w:noProof/>
                </w:rPr>
                <w:t>, 470-492.</w:t>
              </w:r>
            </w:p>
            <w:p w:rsidR="002F6BA0" w:rsidRDefault="002F6BA0" w:rsidP="002F6BA0">
              <w:r>
                <w:rPr>
                  <w:b/>
                  <w:bCs/>
                  <w:noProof/>
                </w:rPr>
                <w:fldChar w:fldCharType="end"/>
              </w:r>
            </w:p>
            <w:bookmarkStart w:id="0" w:name="_GoBack" w:displacedByCustomXml="next"/>
            <w:bookmarkEnd w:id="0" w:displacedByCustomXml="next"/>
          </w:sdtContent>
        </w:sdt>
      </w:sdtContent>
    </w:sdt>
    <w:p w:rsidR="000D2984" w:rsidRDefault="000D2984" w:rsidP="00485F55">
      <w:pPr>
        <w:ind w:firstLine="720"/>
      </w:pPr>
    </w:p>
    <w:sectPr w:rsidR="000D2984" w:rsidSect="00915E12">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8E6" w:rsidRDefault="001928E6" w:rsidP="00915E12">
      <w:pPr>
        <w:spacing w:line="240" w:lineRule="auto"/>
      </w:pPr>
      <w:r>
        <w:separator/>
      </w:r>
    </w:p>
  </w:endnote>
  <w:endnote w:type="continuationSeparator" w:id="0">
    <w:p w:rsidR="001928E6" w:rsidRDefault="001928E6" w:rsidP="00915E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8E6" w:rsidRDefault="001928E6" w:rsidP="00915E12">
      <w:pPr>
        <w:spacing w:line="240" w:lineRule="auto"/>
      </w:pPr>
      <w:r>
        <w:separator/>
      </w:r>
    </w:p>
  </w:footnote>
  <w:footnote w:type="continuationSeparator" w:id="0">
    <w:p w:rsidR="001928E6" w:rsidRDefault="001928E6" w:rsidP="00915E1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6BA0" w:rsidRDefault="002F6BA0">
    <w:pPr>
      <w:pStyle w:val="Header"/>
      <w:jc w:val="right"/>
    </w:pPr>
    <w:r>
      <w:t>COLLEGE-LEVEL TEXT</w:t>
    </w:r>
    <w:r>
      <w:t xml:space="preserve"> </w:t>
    </w:r>
    <w:r>
      <w:tab/>
    </w:r>
    <w:r>
      <w:tab/>
    </w:r>
    <w:sdt>
      <w:sdtPr>
        <w:id w:val="10573612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2F6BA0" w:rsidRDefault="002F6B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E12" w:rsidRDefault="00915E12">
    <w:pPr>
      <w:pStyle w:val="Header"/>
      <w:jc w:val="right"/>
    </w:pPr>
    <w:r>
      <w:t xml:space="preserve">Running Head: </w:t>
    </w:r>
    <w:r w:rsidR="002F6BA0">
      <w:t>COLLEGE-LEVEL TEXT</w:t>
    </w:r>
    <w:r w:rsidR="002F6BA0">
      <w:tab/>
    </w:r>
    <w:r w:rsidR="002F6BA0">
      <w:tab/>
    </w:r>
    <w:sdt>
      <w:sdtPr>
        <w:id w:val="13052738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F6BA0">
          <w:rPr>
            <w:noProof/>
          </w:rPr>
          <w:t>1</w:t>
        </w:r>
        <w:r>
          <w:rPr>
            <w:noProof/>
          </w:rPr>
          <w:fldChar w:fldCharType="end"/>
        </w:r>
      </w:sdtContent>
    </w:sdt>
  </w:p>
  <w:p w:rsidR="00915E12" w:rsidRDefault="00915E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A28"/>
    <w:rsid w:val="000D2984"/>
    <w:rsid w:val="001226A1"/>
    <w:rsid w:val="001928E6"/>
    <w:rsid w:val="00200549"/>
    <w:rsid w:val="002B5781"/>
    <w:rsid w:val="002F6BA0"/>
    <w:rsid w:val="003C63C1"/>
    <w:rsid w:val="00485F55"/>
    <w:rsid w:val="00513017"/>
    <w:rsid w:val="00663F22"/>
    <w:rsid w:val="00765792"/>
    <w:rsid w:val="007B3A28"/>
    <w:rsid w:val="007B5E3F"/>
    <w:rsid w:val="00915E12"/>
    <w:rsid w:val="00956BE3"/>
    <w:rsid w:val="00B14848"/>
    <w:rsid w:val="00BF2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089CF-5D9B-41F5-8937-146A7A59D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F6BA0"/>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E12"/>
    <w:pPr>
      <w:tabs>
        <w:tab w:val="center" w:pos="4680"/>
        <w:tab w:val="right" w:pos="9360"/>
      </w:tabs>
      <w:spacing w:line="240" w:lineRule="auto"/>
    </w:pPr>
  </w:style>
  <w:style w:type="character" w:customStyle="1" w:styleId="HeaderChar">
    <w:name w:val="Header Char"/>
    <w:basedOn w:val="DefaultParagraphFont"/>
    <w:link w:val="Header"/>
    <w:uiPriority w:val="99"/>
    <w:rsid w:val="00915E12"/>
  </w:style>
  <w:style w:type="paragraph" w:styleId="Footer">
    <w:name w:val="footer"/>
    <w:basedOn w:val="Normal"/>
    <w:link w:val="FooterChar"/>
    <w:uiPriority w:val="99"/>
    <w:unhideWhenUsed/>
    <w:rsid w:val="00915E12"/>
    <w:pPr>
      <w:tabs>
        <w:tab w:val="center" w:pos="4680"/>
        <w:tab w:val="right" w:pos="9360"/>
      </w:tabs>
      <w:spacing w:line="240" w:lineRule="auto"/>
    </w:pPr>
  </w:style>
  <w:style w:type="character" w:customStyle="1" w:styleId="FooterChar">
    <w:name w:val="Footer Char"/>
    <w:basedOn w:val="DefaultParagraphFont"/>
    <w:link w:val="Footer"/>
    <w:uiPriority w:val="99"/>
    <w:rsid w:val="00915E12"/>
  </w:style>
  <w:style w:type="character" w:customStyle="1" w:styleId="Heading1Char">
    <w:name w:val="Heading 1 Char"/>
    <w:basedOn w:val="DefaultParagraphFont"/>
    <w:link w:val="Heading1"/>
    <w:uiPriority w:val="9"/>
    <w:rsid w:val="002F6BA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F6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474865">
      <w:bodyDiv w:val="1"/>
      <w:marLeft w:val="0"/>
      <w:marRight w:val="0"/>
      <w:marTop w:val="0"/>
      <w:marBottom w:val="0"/>
      <w:divBdr>
        <w:top w:val="none" w:sz="0" w:space="0" w:color="auto"/>
        <w:left w:val="none" w:sz="0" w:space="0" w:color="auto"/>
        <w:bottom w:val="none" w:sz="0" w:space="0" w:color="auto"/>
        <w:right w:val="none" w:sz="0" w:space="0" w:color="auto"/>
      </w:divBdr>
    </w:div>
    <w:div w:id="965820990">
      <w:bodyDiv w:val="1"/>
      <w:marLeft w:val="0"/>
      <w:marRight w:val="0"/>
      <w:marTop w:val="0"/>
      <w:marBottom w:val="0"/>
      <w:divBdr>
        <w:top w:val="none" w:sz="0" w:space="0" w:color="auto"/>
        <w:left w:val="none" w:sz="0" w:space="0" w:color="auto"/>
        <w:bottom w:val="none" w:sz="0" w:space="0" w:color="auto"/>
        <w:right w:val="none" w:sz="0" w:space="0" w:color="auto"/>
      </w:divBdr>
    </w:div>
    <w:div w:id="1067220181">
      <w:bodyDiv w:val="1"/>
      <w:marLeft w:val="0"/>
      <w:marRight w:val="0"/>
      <w:marTop w:val="0"/>
      <w:marBottom w:val="0"/>
      <w:divBdr>
        <w:top w:val="none" w:sz="0" w:space="0" w:color="auto"/>
        <w:left w:val="none" w:sz="0" w:space="0" w:color="auto"/>
        <w:bottom w:val="none" w:sz="0" w:space="0" w:color="auto"/>
        <w:right w:val="none" w:sz="0" w:space="0" w:color="auto"/>
      </w:divBdr>
    </w:div>
    <w:div w:id="1171607189">
      <w:bodyDiv w:val="1"/>
      <w:marLeft w:val="0"/>
      <w:marRight w:val="0"/>
      <w:marTop w:val="0"/>
      <w:marBottom w:val="0"/>
      <w:divBdr>
        <w:top w:val="none" w:sz="0" w:space="0" w:color="auto"/>
        <w:left w:val="none" w:sz="0" w:space="0" w:color="auto"/>
        <w:bottom w:val="none" w:sz="0" w:space="0" w:color="auto"/>
        <w:right w:val="none" w:sz="0" w:space="0" w:color="auto"/>
      </w:divBdr>
    </w:div>
    <w:div w:id="126426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Gei13</b:Tag>
    <b:SourceType>Book</b:SourceType>
    <b:Guid>{DC1B28BE-DD0C-4DD6-843F-2B40824F863E}</b:Guid>
    <b:Title> Academic literacy and the nature of expertise: Reading, writing, and knowing in academic philosophy</b:Title>
    <b:Year>2013</b:Year>
    <b:City>Abongdon-on-Thames</b:City>
    <b:Publisher>Routledge</b:Publisher>
    <b:Author>
      <b:Author>
        <b:NameList>
          <b:Person>
            <b:Last>Geisler</b:Last>
            <b:First>Cheryl</b:First>
          </b:Person>
        </b:NameList>
      </b:Author>
    </b:Author>
    <b:RefOrder>1</b:RefOrder>
  </b:Source>
  <b:Source>
    <b:Tag>Lun13</b:Tag>
    <b:SourceType>JournalArticle</b:SourceType>
    <b:Guid>{80589C3B-D90F-4658-99F3-B578B59EC12F}</b:Guid>
    <b:Title>College writing, identification, and the production of intellectual property: Voices from the Stanford study of writing</b:Title>
    <b:Year>2013</b:Year>
    <b:JournalName>College English </b:JournalName>
    <b:Pages>470-492</b:Pages>
    <b:Author>
      <b:Author>
        <b:NameList>
          <b:Person>
            <b:Last>Lunsford</b:Last>
            <b:Middle>A.</b:Middle>
            <b:First>Andrea</b:First>
          </b:Person>
          <b:Person>
            <b:Last>Fishman</b:Last>
            <b:First>Jenn</b:First>
          </b:Person>
          <b:Person>
            <b:Last>Liew</b:Last>
            <b:Middle>M.</b:Middle>
            <b:First>Warren</b:First>
          </b:Person>
        </b:NameList>
      </b:Author>
    </b:Author>
    <b:RefOrder>2</b:RefOrder>
  </b:Source>
</b:Sources>
</file>

<file path=customXml/itemProps1.xml><?xml version="1.0" encoding="utf-8"?>
<ds:datastoreItem xmlns:ds="http://schemas.openxmlformats.org/officeDocument/2006/customXml" ds:itemID="{A944B814-FB79-479D-A0F7-F8E93EB58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2019-01-27T09:12:00Z</dcterms:created>
  <dcterms:modified xsi:type="dcterms:W3CDTF">2019-01-27T12:39:00Z</dcterms:modified>
</cp:coreProperties>
</file>